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</w:t>
      </w:r>
    </w:p>
    <w:p>
      <w:pPr>
        <w:widowControl/>
        <w:spacing w:line="330" w:lineRule="atLeas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统计上大中小微型企业划分标准</w:t>
      </w:r>
      <w:bookmarkStart w:id="0" w:name="_GoBack"/>
      <w:bookmarkEnd w:id="0"/>
    </w:p>
    <w:tbl>
      <w:tblPr>
        <w:tblStyle w:val="3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516"/>
        <w:gridCol w:w="1048"/>
        <w:gridCol w:w="1070"/>
        <w:gridCol w:w="1701"/>
        <w:gridCol w:w="1426"/>
        <w:gridCol w:w="992"/>
      </w:tblGrid>
      <w:tr>
        <w:trPr>
          <w:trHeight w:val="622" w:hRule="exact"/>
          <w:jc w:val="center"/>
        </w:trPr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说明：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GB/T4754-2017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）为准。带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*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）资产总额，采用资产总计代替。</w:t>
      </w:r>
    </w:p>
    <w:p/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5"/>
        <w:rFonts w:hint="eastAsia" w:ascii="宋体" w:hAnsi="宋体" w:cs="宋体"/>
        <w:sz w:val="28"/>
        <w:szCs w:val="28"/>
      </w:rPr>
      <w:t xml:space="preserve">－ </w:t>
    </w:r>
    <w:r>
      <w:rPr>
        <w:rStyle w:val="5"/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6</w:t>
    </w:r>
    <w:r>
      <w:rPr>
        <w:rStyle w:val="5"/>
        <w:rFonts w:hint="eastAsia" w:ascii="宋体" w:hAnsi="宋体" w:cs="宋体"/>
        <w:sz w:val="28"/>
        <w:szCs w:val="28"/>
      </w:rPr>
      <w:fldChar w:fldCharType="end"/>
    </w:r>
    <w:r>
      <w:rPr>
        <w:rStyle w:val="5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89790C"/>
    <w:rsid w:val="00C55104"/>
    <w:rsid w:val="6575685D"/>
    <w:rsid w:val="72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uiPriority w:val="0"/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327</Words>
  <Characters>1868</Characters>
  <Lines>15</Lines>
  <Paragraphs>4</Paragraphs>
  <TotalTime>5</TotalTime>
  <ScaleCrop>false</ScaleCrop>
  <LinksUpToDate>false</LinksUpToDate>
  <CharactersWithSpaces>2191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2018-01-02T03:48:00Z</dcterms:created>
  <dc:creator>杜欣(用印)</dc:creator>
  <cp:lastModifiedBy>曹秀梅一全国铸造学会</cp:lastModifiedBy>
  <dcterms:modified xsi:type="dcterms:W3CDTF">2020-08-07T02:39:08Z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